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5AAF">
      <w:pPr>
        <w:spacing w:after="0" w:line="300" w:lineRule="auto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2025-2027年设施公司各项目需求候车亭智能化接电设备年度采购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单套清单明细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861"/>
        <w:tblOverlap w:val="never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35"/>
        <w:gridCol w:w="1276"/>
        <w:gridCol w:w="4871"/>
        <w:gridCol w:w="915"/>
        <w:gridCol w:w="1096"/>
      </w:tblGrid>
      <w:tr w14:paraId="4415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2A2251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品名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4430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设备名称</w:t>
            </w:r>
          </w:p>
        </w:tc>
        <w:tc>
          <w:tcPr>
            <w:tcW w:w="6147" w:type="dxa"/>
            <w:gridSpan w:val="2"/>
            <w:shd w:val="clear" w:color="auto" w:fill="auto"/>
            <w:noWrap/>
            <w:vAlign w:val="center"/>
          </w:tcPr>
          <w:p w14:paraId="7592D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品牌、型号规格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661B5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20D660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</w:tr>
      <w:tr w14:paraId="46B2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1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5B9C0C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BA64BA">
            <w:pPr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半球摄像机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DB0AC8">
            <w:pPr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海康威视或大华</w:t>
            </w:r>
          </w:p>
        </w:tc>
        <w:tc>
          <w:tcPr>
            <w:tcW w:w="4871" w:type="dxa"/>
            <w:shd w:val="clear" w:color="auto" w:fill="auto"/>
            <w:noWrap/>
            <w:vAlign w:val="center"/>
          </w:tcPr>
          <w:p w14:paraId="75447D8B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1、半球星光智能网络摄像机 Smart功能：支持音频异常侦测、区域入侵侦测、越界侦测、进入区域侦测、离开区域侦测，支持声音联动 鳞镜补光：采用隐藏式灯珠设计，通过鳞甲密布排列形成的镜面反射出光，见光不见灯。增加发光面积，降低聚光效果，补光柔和均匀 支持断网续传功能保证录像不丢失，配合Smart NVR/SD卡实现事件录像的智能后检索、分析和浓缩播放 支持低码率、低延时、ROI感兴趣区域增强编码、支持Smart265编码 最高分辨率可达200万像素，并在此分辨率下可输出30 fps实时图像，图像更流畅 支持透雾、支持宽动态120 dB 支持开放型网络视频接口，ISAPI，GB/T28181-2016，ISUP5.0，视图库 支持最大256 GB MicroSD/MicroSDHC/MicroSDXC卡存储 支持10 M/100 M自适应以太网口 支持2个内置麦克风，1个内置扬声器 1路音频输入，1路音频输出，1路报警输入，1路报警输出（报警输出最大支持DC12 V，30 mA）；支持POE供电、2.7mm-13.5mm变焦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2、安装防水配件；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3、含视屏管理平台接入等；</w:t>
            </w:r>
          </w:p>
          <w:p w14:paraId="145E9D05">
            <w:pPr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4、包含安装、接电、调试等。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614B6F0"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个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DF71708"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 w14:paraId="5996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74ECFC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40DBC2">
            <w:pPr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交换机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F30918">
            <w:pPr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工业级</w:t>
            </w:r>
          </w:p>
        </w:tc>
        <w:tc>
          <w:tcPr>
            <w:tcW w:w="4871" w:type="dxa"/>
            <w:shd w:val="clear" w:color="auto" w:fill="auto"/>
            <w:noWrap/>
            <w:vAlign w:val="center"/>
          </w:tcPr>
          <w:p w14:paraId="7E359833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1、支持8个千兆POE网口+2个千兆SFP光口；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2、以太网端口支持10/100/1000M自适应和POE功能；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3、高强度铁外壳，DIN35轨道安装；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4、工业级4级防护设计，-40至75°C工作温度；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5、兼容IEEE802.3at（30W）和IEEE802.3af（15.4w）；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6、支持IEEE802.3，IEEE802.3i，IEEE802.3u，IEEE802.3ab，IEEE802.3z，IEEE802.3af/at,存储转发；</w:t>
            </w:r>
          </w:p>
          <w:p w14:paraId="4620917F">
            <w:pPr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包含安装、接电、调试等。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3254E8F"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5C4A0408"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</w:tr>
      <w:tr w14:paraId="391C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565" w:type="dxa"/>
            <w:shd w:val="clear" w:color="auto" w:fill="auto"/>
            <w:noWrap/>
            <w:vAlign w:val="center"/>
          </w:tcPr>
          <w:p w14:paraId="089703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836BC7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候车亭智能控制器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D12F8"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西门子(PLC)</w:t>
            </w:r>
          </w:p>
        </w:tc>
        <w:tc>
          <w:tcPr>
            <w:tcW w:w="4871" w:type="dxa"/>
            <w:shd w:val="clear" w:color="auto" w:fill="auto"/>
            <w:noWrap/>
            <w:vAlign w:val="center"/>
          </w:tcPr>
          <w:p w14:paraId="77202E18">
            <w:pPr>
              <w:pStyle w:val="8"/>
              <w:numPr>
                <w:ilvl w:val="0"/>
                <w:numId w:val="1"/>
              </w:numPr>
              <w:spacing w:after="0"/>
              <w:ind w:firstLineChars="0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IM-WM,内置高速CPU处理单元，基本指令执行时间可达 0.15 μs，本机36点数字量输入、30点数字量输出（继电器非外接，继电器外过流能力6个10A、9个3A）、自带1个以太网接口、1个RS485，集成的 Micro SD 卡插槽包</w:t>
            </w:r>
          </w:p>
          <w:p w14:paraId="4EDFE801">
            <w:pPr>
              <w:pStyle w:val="8"/>
              <w:numPr>
                <w:ilvl w:val="0"/>
                <w:numId w:val="1"/>
              </w:numPr>
              <w:spacing w:after="0"/>
              <w:ind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含安装、接电、调试及平台接入等。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0AC69BAC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1570A24"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</w:tr>
      <w:tr w14:paraId="566D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58" w:type="dxa"/>
            <w:gridSpan w:val="6"/>
            <w:shd w:val="clear" w:color="auto" w:fill="auto"/>
            <w:noWrap/>
            <w:vAlign w:val="center"/>
          </w:tcPr>
          <w:p w14:paraId="7535449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第一项含税金额小计</w:t>
            </w:r>
          </w:p>
        </w:tc>
      </w:tr>
      <w:tr w14:paraId="6850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0A1ACC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5771D2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接电箱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EE542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不锈钢（880*660*450 mm）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23525B01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1、（单相）1进线6出线回路、漏保、防雷器、1个时控开关、1个5孔模数插座；</w:t>
            </w:r>
          </w:p>
          <w:p w14:paraId="44A23AC6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2、电源：台湾明纬（DC24V 500W）3套、台湾明纬（DC12V ）1套；</w:t>
            </w:r>
          </w:p>
          <w:p w14:paraId="51E0447B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3、箱体基础、预埋件；</w:t>
            </w:r>
          </w:p>
          <w:p w14:paraId="760091EE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4、接地装置：引下线及接地体；</w:t>
            </w:r>
          </w:p>
          <w:p w14:paraId="02CC3F99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5、预埋管：PE40（内径）；</w:t>
            </w:r>
          </w:p>
          <w:p w14:paraId="2358C2B4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6、电缆：到亮化电缆（RVV2*2.5平方）；到监控防水网线、电源线RVV2*1.5平方</w:t>
            </w:r>
          </w:p>
          <w:p w14:paraId="43D5AE80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7、手孔井：30*30cm(智能化标志）</w:t>
            </w:r>
          </w:p>
          <w:p w14:paraId="4E45068C">
            <w:pPr>
              <w:adjustRightInd/>
              <w:snapToGrid/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8、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包含安装、接电、调试等。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396B7FEE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9EA0295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</w:tr>
      <w:tr w14:paraId="6328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9EDF8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80DEA5">
            <w:pPr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电箱整体装饰罩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6A8AF">
            <w:pPr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不锈钢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0242A4C7">
            <w:pPr>
              <w:spacing w:after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1200*860*660mm，包含安装。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7E1F002B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套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6F3FB73">
            <w:pPr>
              <w:adjustRightInd/>
              <w:snapToGrid/>
              <w:spacing w:after="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</w:tr>
    </w:tbl>
    <w:p w14:paraId="117E1A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D6F44"/>
    <w:multiLevelType w:val="multilevel"/>
    <w:tmpl w:val="0C1D6F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E24"/>
    <w:rsid w:val="002D7A07"/>
    <w:rsid w:val="005B15A2"/>
    <w:rsid w:val="006F1FA6"/>
    <w:rsid w:val="006F6EF0"/>
    <w:rsid w:val="0076438B"/>
    <w:rsid w:val="007F702F"/>
    <w:rsid w:val="00B9662B"/>
    <w:rsid w:val="00C16E24"/>
    <w:rsid w:val="00C40955"/>
    <w:rsid w:val="00D0172E"/>
    <w:rsid w:val="00E07777"/>
    <w:rsid w:val="00EB7AC0"/>
    <w:rsid w:val="00EE7B27"/>
    <w:rsid w:val="05F55029"/>
    <w:rsid w:val="0B5D1CFF"/>
    <w:rsid w:val="173B6F23"/>
    <w:rsid w:val="1EE929CB"/>
    <w:rsid w:val="2D746EE7"/>
    <w:rsid w:val="4170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05FF-F6C3-4DE4-AD87-09A6CA143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891</Words>
  <Characters>1202</Characters>
  <Lines>10</Lines>
  <Paragraphs>2</Paragraphs>
  <TotalTime>3</TotalTime>
  <ScaleCrop>false</ScaleCrop>
  <LinksUpToDate>false</LinksUpToDate>
  <CharactersWithSpaces>1231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2025-03-10T08:32:00Z</dcterms:created>
  <dc:creator>Windows 用户</dc:creator>
  <cp:lastModifiedBy>浅巷墨漓</cp:lastModifiedBy>
  <dcterms:modified xsi:type="dcterms:W3CDTF">2025-04-30T08:30:47Z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eyJoZGlkIjoiMmEzZGMxNDc4YWRmYTQyMmQ2OTFjODk4ZThkN2VjMmUiLCJ1c2VySWQiOiI5NjMzNTI0OTYifQ==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F48856C8D41947428A617A0F4287957A_12</vt:lpwstr>
  </property>
</Properties>
</file>